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5603" w:type="dxa"/>
        <w:tblInd w:w="-252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900"/>
        <w:gridCol w:w="1800"/>
        <w:gridCol w:w="720"/>
        <w:gridCol w:w="2183"/>
      </w:tblGrid>
      <w:tr>
        <w:trPr/>
        <w:tc>
          <w:tcPr>
            <w:gridSpan w:val="4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603" w:type="dxa"/>
            <w:vAlign w:val="top"/>
            <w:textDirection w:val="lrTb"/>
            <w:noWrap w:val="false"/>
          </w:tcPr>
          <w:p>
            <w:pPr>
              <w:pStyle w:val="823"/>
              <w:jc w:val="center"/>
              <w:rPr>
                <w:lang w:val="en-US"/>
              </w:rPr>
            </w:pPr>
            <w:r>
              <w:rPr>
                <w:sz w:val="20"/>
                <w:szCs w:val="20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552282" cy="647558"/>
                      <wp:effectExtent l="0" t="0" r="0" b="0"/>
                      <wp:docPr id="1" name="" hidden="0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 hidden="0"/>
                              <pic:cNvPicPr/>
                              <pic:nvPr isPhoto="0" userDrawn="0"/>
                            </pic:nvPicPr>
                            <pic:blipFill>
                              <a:blip r:embed="rId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52282" cy="64755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43.5pt;height:51.0pt;mso-wrap-distance-left:0.0pt;mso-wrap-distance-top:0.0pt;mso-wrap-distance-right:0.0pt;mso-wrap-distance-bottom:0.0pt;" stroked="f">
                      <v:path textboxrect="0,0,0,0"/>
                      <v:imagedata r:id="rId9" o:title=""/>
                    </v:shape>
                  </w:pict>
                </mc:Fallback>
              </mc:AlternateContent>
            </w:r>
            <w:r>
              <w:rPr>
                <w:lang w:val="en-US"/>
              </w:rPr>
            </w:r>
            <w:r/>
          </w:p>
          <w:p>
            <w:pPr>
              <w:pStyle w:val="823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</w:r>
            <w:r/>
          </w:p>
          <w:p>
            <w:pPr>
              <w:pStyle w:val="816"/>
              <w:jc w:val="center"/>
              <w:rPr>
                <w:b/>
              </w:rPr>
            </w:pPr>
            <w:r>
              <w:rPr>
                <w:b/>
              </w:rPr>
              <w:t xml:space="preserve">МИНИСТЕРСТВО ОБРАЗОВАНИЯ</w:t>
            </w:r>
            <w:r/>
          </w:p>
          <w:p>
            <w:pPr>
              <w:pStyle w:val="816"/>
              <w:jc w:val="center"/>
              <w:rPr>
                <w:b/>
                <w:sz w:val="12"/>
                <w:szCs w:val="12"/>
              </w:rPr>
            </w:pPr>
            <w:r>
              <w:rPr>
                <w:b/>
              </w:rPr>
              <w:t xml:space="preserve">НОВОСИБИРСКОЙ ОБЛАСТИ</w:t>
            </w:r>
            <w:r>
              <w:rPr>
                <w:b/>
                <w:sz w:val="12"/>
                <w:szCs w:val="12"/>
              </w:rPr>
            </w:r>
            <w:r/>
          </w:p>
          <w:p>
            <w:pPr>
              <w:pStyle w:val="816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(Минобразования</w:t>
            </w:r>
            <w:r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 xml:space="preserve">Новосибирской области)</w:t>
            </w:r>
            <w:r>
              <w:rPr>
                <w:b/>
                <w:sz w:val="26"/>
                <w:szCs w:val="26"/>
              </w:rPr>
            </w:r>
            <w:r/>
          </w:p>
          <w:p>
            <w:pPr>
              <w:pStyle w:val="816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pStyle w:val="81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Красный проспект, д.18, г. Новосибирск, 6300</w:t>
            </w:r>
            <w:r>
              <w:rPr>
                <w:sz w:val="22"/>
                <w:szCs w:val="22"/>
              </w:rPr>
              <w:t xml:space="preserve">07</w:t>
            </w:r>
            <w:r/>
          </w:p>
          <w:p>
            <w:pPr>
              <w:pStyle w:val="816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Тел.: (383)</w:t>
            </w:r>
            <w:r>
              <w:rPr>
                <w:sz w:val="22"/>
                <w:szCs w:val="22"/>
              </w:rPr>
              <w:t xml:space="preserve">238-73-46</w:t>
            </w:r>
            <w:r>
              <w:rPr>
                <w:sz w:val="22"/>
                <w:szCs w:val="22"/>
              </w:rPr>
              <w:t xml:space="preserve">,</w:t>
            </w:r>
            <w:r>
              <w:rPr>
                <w:sz w:val="22"/>
                <w:szCs w:val="22"/>
              </w:rPr>
              <w:t xml:space="preserve"> 238-73-20,</w:t>
            </w:r>
            <w:r>
              <w:rPr>
                <w:sz w:val="22"/>
                <w:szCs w:val="22"/>
              </w:rPr>
              <w:t xml:space="preserve"> факс: (383)2</w:t>
            </w:r>
            <w:r>
              <w:rPr>
                <w:sz w:val="22"/>
                <w:szCs w:val="22"/>
              </w:rPr>
              <w:t xml:space="preserve">38</w:t>
            </w:r>
            <w:r>
              <w:rPr>
                <w:sz w:val="22"/>
                <w:szCs w:val="22"/>
              </w:rPr>
              <w:t xml:space="preserve">-6</w:t>
            </w: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  <w:t xml:space="preserve">03</w:t>
            </w:r>
            <w:r>
              <w:rPr>
                <w:sz w:val="22"/>
                <w:szCs w:val="22"/>
                <w:lang w:val="en-US"/>
              </w:rPr>
            </w:r>
            <w:r/>
          </w:p>
          <w:p>
            <w:pPr>
              <w:pStyle w:val="816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de-DE"/>
              </w:rPr>
              <w:t xml:space="preserve">E</w:t>
            </w:r>
            <w:r>
              <w:rPr>
                <w:sz w:val="22"/>
                <w:szCs w:val="22"/>
                <w:lang w:val="en-US"/>
              </w:rPr>
              <w:t xml:space="preserve">-</w:t>
            </w:r>
            <w:r>
              <w:rPr>
                <w:sz w:val="22"/>
                <w:szCs w:val="22"/>
                <w:lang w:val="de-DE"/>
              </w:rPr>
              <w:t xml:space="preserve">mail</w:t>
            </w:r>
            <w:r>
              <w:rPr>
                <w:sz w:val="22"/>
                <w:szCs w:val="22"/>
                <w:lang w:val="en-US"/>
              </w:rPr>
              <w:t xml:space="preserve">: </w:t>
            </w:r>
            <w:r>
              <w:fldChar w:fldCharType="begin"/>
            </w:r>
            <w:r>
              <w:instrText xml:space="preserve"> HYPERLINK "mailto:minobr@nso.ru" </w:instrText>
            </w:r>
            <w:r>
              <w:fldChar w:fldCharType="separate"/>
            </w:r>
            <w:r>
              <w:rPr>
                <w:rStyle w:val="822"/>
                <w:sz w:val="22"/>
                <w:lang w:val="en-US"/>
              </w:rPr>
              <w:t xml:space="preserve">minobr</w:t>
            </w:r>
            <w:r>
              <w:rPr>
                <w:rStyle w:val="822"/>
                <w:sz w:val="22"/>
                <w:szCs w:val="22"/>
                <w:lang w:val="en-US"/>
              </w:rPr>
              <w:t xml:space="preserve">@</w:t>
            </w:r>
            <w:r>
              <w:rPr>
                <w:rStyle w:val="822"/>
                <w:sz w:val="22"/>
                <w:szCs w:val="22"/>
                <w:lang w:val="de-DE"/>
              </w:rPr>
              <w:t xml:space="preserve">nso</w:t>
            </w:r>
            <w:r>
              <w:rPr>
                <w:rStyle w:val="822"/>
                <w:sz w:val="22"/>
                <w:szCs w:val="22"/>
                <w:lang w:val="en-US"/>
              </w:rPr>
              <w:t xml:space="preserve">.</w:t>
            </w:r>
            <w:r>
              <w:rPr>
                <w:rStyle w:val="822"/>
                <w:sz w:val="22"/>
                <w:szCs w:val="22"/>
                <w:lang w:val="de-DE"/>
              </w:rPr>
              <w:t xml:space="preserve">ru</w:t>
            </w:r>
            <w:r>
              <w:rPr>
                <w:rStyle w:val="822"/>
                <w:sz w:val="22"/>
                <w:szCs w:val="22"/>
                <w:lang w:val="de-DE"/>
              </w:rPr>
              <w:fldChar w:fldCharType="end"/>
            </w:r>
            <w:r>
              <w:rPr>
                <w:sz w:val="22"/>
                <w:szCs w:val="22"/>
                <w:lang w:val="en-US"/>
              </w:rPr>
            </w:r>
            <w:r/>
          </w:p>
          <w:p>
            <w:pPr>
              <w:pStyle w:val="816"/>
              <w:jc w:val="center"/>
              <w:rPr>
                <w:sz w:val="16"/>
                <w:szCs w:val="16"/>
                <w:lang w:val="en-US"/>
              </w:rPr>
            </w:pPr>
            <w:r>
              <w:fldChar w:fldCharType="begin"/>
            </w:r>
            <w:r>
              <w:instrText xml:space="preserve"> HYP</w:instrText>
            </w:r>
            <w:r>
              <w:instrText xml:space="preserve">ERLINK "http://www.minobr.nso.ru" </w:instrText>
            </w:r>
            <w:r>
              <w:fldChar w:fldCharType="separate"/>
            </w:r>
            <w:r>
              <w:rPr>
                <w:rStyle w:val="822"/>
                <w:sz w:val="22"/>
                <w:szCs w:val="22"/>
                <w:lang w:val="en-US"/>
              </w:rPr>
              <w:t xml:space="preserve">www.minobr.nso.ru</w:t>
            </w:r>
            <w:r>
              <w:rPr>
                <w:rStyle w:val="822"/>
                <w:sz w:val="22"/>
                <w:szCs w:val="22"/>
                <w:lang w:val="en-US"/>
              </w:rPr>
              <w:fldChar w:fldCharType="end"/>
            </w:r>
            <w:r>
              <w:rPr>
                <w:sz w:val="16"/>
                <w:szCs w:val="16"/>
                <w:lang w:val="en-US"/>
              </w:rPr>
            </w:r>
            <w:r/>
          </w:p>
        </w:tc>
      </w:tr>
      <w:tr>
        <w:trPr/>
        <w:tc>
          <w:tcPr>
            <w:tcW w:w="900" w:type="dxa"/>
            <w:vAlign w:val="top"/>
            <w:textDirection w:val="lrTb"/>
            <w:noWrap w:val="false"/>
          </w:tcPr>
          <w:p>
            <w:pPr>
              <w:pStyle w:val="816"/>
            </w:pPr>
            <w:r>
              <w:t xml:space="preserve"> </w:t>
            </w:r>
            <w:r/>
          </w:p>
        </w:tc>
        <w:tc>
          <w:tcPr>
            <w:gridSpan w:val="3"/>
            <w:tcBorders>
              <w:bottom w:val="single" w:color="000000" w:sz="4" w:space="0"/>
            </w:tcBorders>
            <w:tcW w:w="4703" w:type="dxa"/>
            <w:vAlign w:val="top"/>
            <w:textDirection w:val="lrTb"/>
            <w:noWrap w:val="false"/>
          </w:tcPr>
          <w:p>
            <w:pPr>
              <w:pStyle w:val="816"/>
              <w:rPr>
                <w:color w:val="f2f2f2"/>
                <w:lang w:val="en-US"/>
              </w:rPr>
            </w:pPr>
            <w:r>
              <w:rPr>
                <w:color w:val="f2f2f2"/>
              </w:rPr>
              <w:t xml:space="preserve">       </w:t>
            </w:r>
            <w:r>
              <w:rPr>
                <w:color w:val="f2f2f2"/>
                <w:lang w:val="en-US"/>
              </w:rPr>
              <w:t xml:space="preserve">[</w:t>
            </w:r>
            <w:r>
              <w:rPr>
                <w:color w:val="f2f2f2"/>
              </w:rPr>
              <w:t xml:space="preserve">МЕСТО ДЛЯ ШТАМПА</w:t>
            </w:r>
            <w:r>
              <w:rPr>
                <w:color w:val="f2f2f2"/>
                <w:lang w:val="en-US"/>
              </w:rPr>
              <w:t xml:space="preserve">]</w:t>
            </w:r>
            <w:r/>
          </w:p>
        </w:tc>
      </w:tr>
      <w:tr>
        <w:trPr/>
        <w:tc>
          <w:tcPr>
            <w:tcW w:w="900" w:type="dxa"/>
            <w:vAlign w:val="top"/>
            <w:textDirection w:val="lrTb"/>
            <w:noWrap w:val="false"/>
          </w:tcPr>
          <w:p>
            <w:pPr>
              <w:pStyle w:val="816"/>
              <w:jc w:val="center"/>
              <w:rPr>
                <w:lang w:val="de-DE"/>
              </w:rPr>
            </w:pPr>
            <w:r>
              <w:t xml:space="preserve">На</w:t>
            </w:r>
            <w:r>
              <w:t xml:space="preserve"> №</w:t>
            </w:r>
            <w:r>
              <w:rPr>
                <w:lang w:val="de-DE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1800" w:type="dxa"/>
            <w:vAlign w:val="top"/>
            <w:textDirection w:val="lrTb"/>
            <w:noWrap w:val="false"/>
          </w:tcPr>
          <w:p>
            <w:pPr>
              <w:pStyle w:val="81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720" w:type="dxa"/>
            <w:vAlign w:val="top"/>
            <w:textDirection w:val="lrTb"/>
            <w:noWrap w:val="false"/>
          </w:tcPr>
          <w:p>
            <w:pPr>
              <w:pStyle w:val="816"/>
              <w:jc w:val="center"/>
              <w:rPr>
                <w:lang w:val="de-DE"/>
              </w:rPr>
            </w:pPr>
            <w:r>
              <w:t xml:space="preserve">от</w:t>
            </w:r>
            <w:r>
              <w:rPr>
                <w:lang w:val="de-DE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183" w:type="dxa"/>
            <w:vAlign w:val="top"/>
            <w:textDirection w:val="lrTb"/>
            <w:noWrap w:val="false"/>
          </w:tcPr>
          <w:p>
            <w:pPr>
              <w:pStyle w:val="816"/>
              <w:jc w:val="left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/>
          </w:p>
        </w:tc>
      </w:tr>
    </w:tbl>
    <w:tbl>
      <w:tblPr>
        <w:tblpPr w:horzAnchor="page" w:tblpX="7040" w:vertAnchor="page" w:tblpY="1984" w:leftFromText="180" w:topFromText="0" w:rightFromText="180" w:bottomFromText="0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422"/>
      </w:tblGrid>
      <w:tr>
        <w:trPr>
          <w:trHeight w:val="326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42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Руководителям органов управления образованием муниципальных районов и городских округов Новосибирской области 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83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</w:r>
            <w:r/>
          </w:p>
          <w:p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  <w:framePr w:hSpace="180" w:wrap="around" w:vAnchor="text" w:hAnchor="text" w:x="5434" w:y="-4407"/>
            </w:pPr>
            <w:r>
              <w:rPr>
                <w:rFonts w:ascii="Liberation Serif" w:hAnsi="Liberation Serif" w:cs="Liberation Serif"/>
                <w:sz w:val="28"/>
                <w:szCs w:val="28"/>
              </w:rPr>
            </w:r>
            <w:r/>
          </w:p>
          <w:p>
            <w:pPr>
              <w:pStyle w:val="816"/>
              <w:jc w:val="center"/>
              <w:framePr w:hSpace="180" w:wrap="around" w:vAnchor="text" w:hAnchor="margin" w:xAlign="right" w:y="-3357"/>
            </w:pPr>
            <w:r/>
            <w:r/>
          </w:p>
          <w:p>
            <w:pPr>
              <w:pStyle w:val="816"/>
              <w:rPr>
                <w:sz w:val="26"/>
              </w:rPr>
              <w:framePr w:hSpace="180" w:wrap="around" w:vAnchor="text" w:hAnchor="margin" w:xAlign="right" w:y="-3357"/>
            </w:pPr>
            <w:r>
              <w:rPr>
                <w:sz w:val="26"/>
              </w:rPr>
            </w:r>
            <w:r/>
          </w:p>
        </w:tc>
      </w:tr>
    </w:tbl>
    <w:p>
      <w:pPr>
        <w:pStyle w:val="833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О </w:t>
      </w:r>
      <w:r>
        <w:rPr>
          <w:rFonts w:ascii="Times New Roman" w:hAnsi="Times New Roman" w:cs="Times New Roman"/>
          <w:sz w:val="27"/>
          <w:szCs w:val="27"/>
        </w:rPr>
        <w:t xml:space="preserve">принятии мер, направленных на повышение эффективности</w:t>
      </w:r>
      <w:r>
        <w:rPr>
          <w:rFonts w:ascii="Times New Roman" w:hAnsi="Times New Roman" w:cs="Times New Roman"/>
          <w:sz w:val="27"/>
          <w:szCs w:val="27"/>
        </w:rPr>
        <w:t xml:space="preserve"> механизмов управления </w:t>
      </w:r>
      <w:r>
        <w:rPr>
          <w:rFonts w:ascii="Times New Roman" w:hAnsi="Times New Roman" w:cs="Times New Roman"/>
          <w:sz w:val="27"/>
          <w:szCs w:val="27"/>
        </w:rPr>
        <w:t xml:space="preserve">качеством образ</w:t>
      </w:r>
      <w:r>
        <w:rPr>
          <w:rFonts w:ascii="Times New Roman" w:hAnsi="Times New Roman" w:cs="Times New Roman"/>
          <w:sz w:val="27"/>
          <w:szCs w:val="27"/>
        </w:rPr>
        <w:t xml:space="preserve">о</w:t>
      </w:r>
      <w:r>
        <w:rPr>
          <w:rFonts w:ascii="Times New Roman" w:hAnsi="Times New Roman" w:cs="Times New Roman"/>
          <w:sz w:val="27"/>
          <w:szCs w:val="27"/>
        </w:rPr>
        <w:t xml:space="preserve">вания в части </w:t>
      </w:r>
      <w:r>
        <w:rPr>
          <w:rFonts w:ascii="Times New Roman" w:hAnsi="Times New Roman" w:cs="Times New Roman"/>
          <w:sz w:val="27"/>
          <w:szCs w:val="27"/>
        </w:rPr>
      </w:r>
      <w:r/>
    </w:p>
    <w:p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выявления </w:t>
      </w:r>
      <w:r>
        <w:rPr>
          <w:rFonts w:ascii="Times New Roman" w:hAnsi="Times New Roman" w:cs="Times New Roman"/>
          <w:sz w:val="27"/>
          <w:szCs w:val="27"/>
        </w:rPr>
        <w:t xml:space="preserve">детей в возрасте с 7 до 18 лет, </w:t>
      </w:r>
      <w:r>
        <w:rPr>
          <w:rFonts w:ascii="Times New Roman" w:hAnsi="Times New Roman" w:cs="Times New Roman"/>
          <w:sz w:val="27"/>
          <w:szCs w:val="27"/>
        </w:rPr>
      </w:r>
      <w:r/>
    </w:p>
    <w:p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проявивших </w:t>
      </w:r>
      <w:r>
        <w:rPr>
          <w:rFonts w:ascii="Times New Roman" w:hAnsi="Times New Roman" w:cs="Times New Roman"/>
          <w:sz w:val="27"/>
          <w:szCs w:val="27"/>
        </w:rPr>
        <w:t xml:space="preserve">выдающиеся способности</w:t>
      </w:r>
      <w:r>
        <w:rPr>
          <w:rFonts w:ascii="Times New Roman" w:hAnsi="Times New Roman" w:cs="Times New Roman"/>
          <w:sz w:val="27"/>
          <w:szCs w:val="27"/>
        </w:rPr>
      </w:r>
      <w:r/>
    </w:p>
    <w:p>
      <w:pPr>
        <w:pStyle w:val="833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  <w:r/>
    </w:p>
    <w:p>
      <w:pPr>
        <w:pStyle w:val="833"/>
        <w:jc w:val="center"/>
        <w:rPr>
          <w:rFonts w:ascii="Times New Roman" w:hAnsi="Times New Roman" w:cs="Times New Roman"/>
          <w:sz w:val="27"/>
          <w:szCs w:val="27"/>
          <w:highlight w:val="none"/>
        </w:rPr>
      </w:pPr>
      <w:r>
        <w:rPr>
          <w:rFonts w:ascii="Times New Roman" w:hAnsi="Times New Roman" w:cs="Times New Roman"/>
          <w:sz w:val="27"/>
          <w:szCs w:val="27"/>
        </w:rPr>
        <w:t xml:space="preserve">Уважаемые</w:t>
      </w:r>
      <w:r>
        <w:rPr>
          <w:rFonts w:ascii="Times New Roman" w:hAnsi="Times New Roman" w:cs="Times New Roman"/>
          <w:sz w:val="27"/>
          <w:szCs w:val="27"/>
        </w:rPr>
        <w:t xml:space="preserve"> руководители!</w:t>
      </w:r>
      <w:r>
        <w:rPr>
          <w:rFonts w:ascii="Times New Roman" w:hAnsi="Times New Roman" w:cs="Times New Roman"/>
          <w:sz w:val="27"/>
          <w:szCs w:val="27"/>
        </w:rPr>
      </w:r>
      <w:r/>
    </w:p>
    <w:p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  <w:highlight w:val="none"/>
        </w:rPr>
      </w:r>
      <w:r>
        <w:rPr>
          <w:rFonts w:ascii="Times New Roman" w:hAnsi="Times New Roman" w:cs="Times New Roman"/>
          <w:sz w:val="27"/>
          <w:szCs w:val="27"/>
        </w:rPr>
      </w:r>
      <w:r/>
    </w:p>
    <w:p>
      <w:pPr>
        <w:pStyle w:val="836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Напоминаем, что в рамках реализации федерального проекта «Успех каждого ребенка» национального проекта «Образование» Правительством Российской Федерации установлен целевой показатель «Доля детей </w:t>
      </w:r>
      <w:r>
        <w:rPr>
          <w:rFonts w:ascii="Times New Roman" w:hAnsi="Times New Roman" w:cs="Times New Roman"/>
          <w:sz w:val="27"/>
          <w:szCs w:val="27"/>
        </w:rPr>
        <w:t xml:space="preserve">и молодежи </w:t>
      </w:r>
      <w:r>
        <w:rPr>
          <w:rFonts w:ascii="Times New Roman" w:hAnsi="Times New Roman" w:cs="Times New Roman"/>
          <w:sz w:val="27"/>
          <w:szCs w:val="27"/>
        </w:rPr>
        <w:t xml:space="preserve">в</w:t>
      </w:r>
      <w:r>
        <w:rPr>
          <w:rFonts w:ascii="Times New Roman" w:hAnsi="Times New Roman" w:cs="Times New Roman"/>
          <w:sz w:val="27"/>
          <w:szCs w:val="27"/>
        </w:rPr>
        <w:t xml:space="preserve"> </w:t>
      </w:r>
      <w:r>
        <w:rPr>
          <w:rFonts w:ascii="Times New Roman" w:hAnsi="Times New Roman" w:cs="Times New Roman"/>
          <w:sz w:val="27"/>
          <w:szCs w:val="27"/>
        </w:rPr>
        <w:t xml:space="preserve">возрасте от </w:t>
      </w:r>
      <w:r>
        <w:rPr>
          <w:rFonts w:ascii="Times New Roman" w:hAnsi="Times New Roman" w:cs="Times New Roman"/>
          <w:sz w:val="27"/>
          <w:szCs w:val="27"/>
        </w:rPr>
        <w:t xml:space="preserve">7</w:t>
      </w:r>
      <w:r>
        <w:rPr>
          <w:rFonts w:ascii="Times New Roman" w:hAnsi="Times New Roman" w:cs="Times New Roman"/>
          <w:sz w:val="27"/>
          <w:szCs w:val="27"/>
        </w:rPr>
        <w:t xml:space="preserve"> до </w:t>
      </w:r>
      <w:r>
        <w:rPr>
          <w:rFonts w:ascii="Times New Roman" w:hAnsi="Times New Roman" w:cs="Times New Roman"/>
          <w:sz w:val="27"/>
          <w:szCs w:val="27"/>
        </w:rPr>
        <w:t xml:space="preserve">35</w:t>
      </w:r>
      <w:r>
        <w:rPr>
          <w:rFonts w:ascii="Times New Roman" w:hAnsi="Times New Roman" w:cs="Times New Roman"/>
          <w:sz w:val="27"/>
          <w:szCs w:val="27"/>
        </w:rPr>
        <w:t xml:space="preserve"> лет, </w:t>
      </w:r>
      <w:r>
        <w:rPr>
          <w:rFonts w:ascii="Times New Roman" w:hAnsi="Times New Roman" w:cs="Times New Roman"/>
          <w:sz w:val="27"/>
          <w:szCs w:val="27"/>
        </w:rPr>
        <w:t xml:space="preserve">у которых выявлены выдающиеся способности и таланты»</w:t>
      </w:r>
      <w:r>
        <w:rPr>
          <w:rFonts w:ascii="Times New Roman" w:hAnsi="Times New Roman" w:cs="Times New Roman"/>
          <w:sz w:val="27"/>
          <w:szCs w:val="27"/>
        </w:rPr>
        <w:t xml:space="preserve"> (п. </w:t>
      </w:r>
      <w:r>
        <w:rPr>
          <w:rFonts w:ascii="Times New Roman" w:hAnsi="Times New Roman" w:cs="Times New Roman"/>
          <w:sz w:val="27"/>
          <w:szCs w:val="27"/>
        </w:rPr>
        <w:t xml:space="preserve">5</w:t>
      </w:r>
      <w:r>
        <w:rPr>
          <w:rFonts w:ascii="Times New Roman" w:hAnsi="Times New Roman" w:cs="Times New Roman"/>
          <w:sz w:val="27"/>
          <w:szCs w:val="27"/>
        </w:rPr>
        <w:t xml:space="preserve"> приложения к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Концепции развития дополнительного образования детей до 2030 года, утвержденной распоряжением Правительства Российской Федерации от 31.03.2022</w:t>
      </w:r>
      <w:r>
        <w:rPr>
          <w:rFonts w:ascii="Times New Roman" w:hAnsi="Times New Roman" w:cs="Times New Roman"/>
          <w:sz w:val="27"/>
          <w:szCs w:val="27"/>
        </w:rPr>
        <w:t xml:space="preserve"> №</w:t>
      </w:r>
      <w:r>
        <w:rPr>
          <w:rFonts w:ascii="Times New Roman" w:hAnsi="Times New Roman" w:cs="Times New Roman"/>
          <w:sz w:val="27"/>
          <w:szCs w:val="27"/>
        </w:rPr>
        <w:t xml:space="preserve"> </w:t>
      </w:r>
      <w:r>
        <w:rPr>
          <w:rFonts w:ascii="Times New Roman" w:hAnsi="Times New Roman" w:cs="Times New Roman"/>
          <w:sz w:val="27"/>
          <w:szCs w:val="27"/>
        </w:rPr>
        <w:t xml:space="preserve">678-Р (с</w:t>
      </w:r>
      <w:r>
        <w:rPr>
          <w:rFonts w:ascii="Times New Roman" w:hAnsi="Times New Roman" w:cs="Times New Roman"/>
          <w:sz w:val="27"/>
          <w:szCs w:val="27"/>
        </w:rPr>
        <w:t xml:space="preserve"> </w:t>
      </w:r>
      <w:r>
        <w:rPr>
          <w:rFonts w:ascii="Times New Roman" w:hAnsi="Times New Roman" w:cs="Times New Roman"/>
          <w:sz w:val="27"/>
          <w:szCs w:val="27"/>
        </w:rPr>
        <w:t xml:space="preserve">изменениями на 15.05.2023</w:t>
      </w:r>
      <w:r>
        <w:rPr>
          <w:rFonts w:ascii="Times New Roman" w:hAnsi="Times New Roman" w:cs="Times New Roman"/>
          <w:sz w:val="27"/>
          <w:szCs w:val="27"/>
        </w:rPr>
        <w:t xml:space="preserve">), значение которого по итогам 2024 года должно составить </w:t>
      </w:r>
      <w:r>
        <w:rPr>
          <w:rFonts w:ascii="Times New Roman" w:hAnsi="Times New Roman" w:cs="Times New Roman"/>
          <w:sz w:val="27"/>
          <w:szCs w:val="27"/>
        </w:rPr>
        <w:t xml:space="preserve">0,61</w:t>
      </w:r>
      <w:r>
        <w:rPr>
          <w:rFonts w:ascii="Times New Roman" w:hAnsi="Times New Roman" w:cs="Times New Roman"/>
          <w:sz w:val="27"/>
          <w:szCs w:val="27"/>
        </w:rPr>
        <w:t xml:space="preserve">%.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</w:r>
      <w:r/>
    </w:p>
    <w:p>
      <w:pPr>
        <w:pStyle w:val="836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Порядок выявления детей и молодежи, проявивших выдающиеся способности, </w:t>
      </w:r>
      <w:r>
        <w:rPr>
          <w:rFonts w:ascii="Times New Roman" w:hAnsi="Times New Roman" w:cs="Times New Roman"/>
          <w:sz w:val="27"/>
          <w:szCs w:val="27"/>
        </w:rPr>
        <w:t xml:space="preserve">и</w:t>
      </w:r>
      <w:r>
        <w:rPr>
          <w:rFonts w:ascii="Times New Roman" w:hAnsi="Times New Roman" w:cs="Times New Roman"/>
          <w:sz w:val="27"/>
          <w:szCs w:val="27"/>
        </w:rPr>
        <w:t xml:space="preserve"> порядок сопровождения их дальнейшего развития определен постановлением Правительства </w:t>
      </w:r>
      <w:r>
        <w:rPr>
          <w:rFonts w:ascii="Times New Roman" w:hAnsi="Times New Roman" w:cs="Times New Roman"/>
          <w:sz w:val="27"/>
          <w:szCs w:val="27"/>
        </w:rPr>
        <w:t xml:space="preserve">Российской </w:t>
      </w:r>
      <w:r>
        <w:rPr>
          <w:rFonts w:ascii="Times New Roman" w:hAnsi="Times New Roman" w:cs="Times New Roman"/>
          <w:sz w:val="27"/>
          <w:szCs w:val="27"/>
        </w:rPr>
        <w:t xml:space="preserve">Федерации от 19.10.2023 № 1738 «Об утверждении Правил выявления детей и молодежи, проявивших выдающиеся способности, и сопровождение их дальнейшего развития» (далее – Правила).</w:t>
      </w:r>
      <w:r>
        <w:rPr>
          <w:rFonts w:ascii="Times New Roman" w:hAnsi="Times New Roman" w:cs="Times New Roman"/>
          <w:sz w:val="27"/>
          <w:szCs w:val="27"/>
        </w:rPr>
      </w:r>
      <w:r/>
    </w:p>
    <w:p>
      <w:pPr>
        <w:pStyle w:val="836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 соответстви</w:t>
      </w:r>
      <w:r>
        <w:rPr>
          <w:rFonts w:ascii="Times New Roman" w:hAnsi="Times New Roman" w:cs="Times New Roman"/>
          <w:sz w:val="27"/>
          <w:szCs w:val="27"/>
        </w:rPr>
        <w:t xml:space="preserve">и</w:t>
      </w:r>
      <w:r>
        <w:rPr>
          <w:rFonts w:ascii="Times New Roman" w:hAnsi="Times New Roman" w:cs="Times New Roman"/>
          <w:sz w:val="27"/>
          <w:szCs w:val="27"/>
        </w:rPr>
        <w:t xml:space="preserve"> с Правил</w:t>
      </w:r>
      <w:r>
        <w:rPr>
          <w:rFonts w:ascii="Times New Roman" w:hAnsi="Times New Roman" w:cs="Times New Roman"/>
          <w:sz w:val="27"/>
          <w:szCs w:val="27"/>
        </w:rPr>
        <w:t xml:space="preserve">ами</w:t>
      </w:r>
      <w:r>
        <w:rPr>
          <w:rFonts w:ascii="Times New Roman" w:hAnsi="Times New Roman" w:cs="Times New Roman"/>
          <w:sz w:val="27"/>
          <w:szCs w:val="27"/>
        </w:rPr>
        <w:t xml:space="preserve"> в</w:t>
      </w:r>
      <w:r>
        <w:rPr>
          <w:rFonts w:ascii="Times New Roman" w:hAnsi="Times New Roman" w:cs="Times New Roman"/>
          <w:sz w:val="27"/>
          <w:szCs w:val="27"/>
        </w:rPr>
        <w:t xml:space="preserve">ыявление детей в возрасте </w:t>
      </w:r>
      <w:r>
        <w:rPr>
          <w:rFonts w:ascii="Times New Roman" w:hAnsi="Times New Roman" w:cs="Times New Roman"/>
          <w:sz w:val="27"/>
          <w:szCs w:val="27"/>
        </w:rPr>
        <w:t xml:space="preserve">от</w:t>
      </w:r>
      <w:r>
        <w:rPr>
          <w:rFonts w:ascii="Times New Roman" w:hAnsi="Times New Roman" w:cs="Times New Roman"/>
          <w:sz w:val="27"/>
          <w:szCs w:val="27"/>
        </w:rPr>
        <w:t xml:space="preserve"> 7 до 18 лет </w:t>
      </w:r>
      <w:r>
        <w:rPr>
          <w:rFonts w:ascii="Times New Roman" w:hAnsi="Times New Roman" w:cs="Times New Roman"/>
          <w:sz w:val="27"/>
          <w:szCs w:val="27"/>
        </w:rPr>
        <w:t xml:space="preserve">осуществляется посредством проведения олимпиад и иных интеллектуальных  и (или) творческих конкурсов, мероприятий, направленных на развитие интеллектуальных и творческих способностей, способностей к занятиям физической культурой и спортом, интереса к</w:t>
      </w:r>
      <w:r>
        <w:rPr>
          <w:rFonts w:ascii="Times New Roman" w:hAnsi="Times New Roman" w:cs="Times New Roman"/>
          <w:sz w:val="27"/>
          <w:szCs w:val="27"/>
        </w:rPr>
        <w:t xml:space="preserve"> </w:t>
      </w:r>
      <w:r>
        <w:rPr>
          <w:rFonts w:ascii="Times New Roman" w:hAnsi="Times New Roman" w:cs="Times New Roman"/>
          <w:sz w:val="27"/>
          <w:szCs w:val="27"/>
        </w:rPr>
        <w:t xml:space="preserve">научной (научно-исследовательской)</w:t>
      </w:r>
      <w:r>
        <w:rPr>
          <w:rFonts w:ascii="Times New Roman" w:hAnsi="Times New Roman" w:cs="Times New Roman"/>
          <w:sz w:val="27"/>
          <w:szCs w:val="27"/>
        </w:rPr>
        <w:t xml:space="preserve">, инженерно-технической, изобретательской, творческой, физкультурно-спортивной деятельности, а</w:t>
      </w:r>
      <w:r>
        <w:rPr>
          <w:rFonts w:ascii="Times New Roman" w:hAnsi="Times New Roman" w:cs="Times New Roman"/>
          <w:sz w:val="27"/>
          <w:szCs w:val="27"/>
        </w:rPr>
        <w:t xml:space="preserve"> </w:t>
      </w:r>
      <w:r>
        <w:rPr>
          <w:rFonts w:ascii="Times New Roman" w:hAnsi="Times New Roman" w:cs="Times New Roman"/>
          <w:sz w:val="27"/>
          <w:szCs w:val="27"/>
        </w:rPr>
        <w:t xml:space="preserve">также на пропаганду научных знаний, творчески</w:t>
      </w:r>
      <w:r>
        <w:rPr>
          <w:rFonts w:ascii="Times New Roman" w:hAnsi="Times New Roman" w:cs="Times New Roman"/>
          <w:sz w:val="27"/>
          <w:szCs w:val="27"/>
        </w:rPr>
        <w:t xml:space="preserve">х</w:t>
      </w:r>
      <w:r>
        <w:rPr>
          <w:rFonts w:ascii="Times New Roman" w:hAnsi="Times New Roman" w:cs="Times New Roman"/>
          <w:sz w:val="27"/>
          <w:szCs w:val="27"/>
        </w:rPr>
        <w:t xml:space="preserve"> и спортивных достижений (далее – конкурсные </w:t>
      </w:r>
      <w:r>
        <w:rPr>
          <w:rFonts w:ascii="Times New Roman" w:hAnsi="Times New Roman" w:cs="Times New Roman"/>
          <w:sz w:val="27"/>
          <w:szCs w:val="27"/>
        </w:rPr>
        <w:t xml:space="preserve">(значимые) мероприятия), </w:t>
      </w:r>
      <w:r>
        <w:rPr>
          <w:rFonts w:ascii="Times New Roman" w:hAnsi="Times New Roman" w:cs="Times New Roman"/>
          <w:sz w:val="27"/>
          <w:szCs w:val="27"/>
        </w:rPr>
        <w:t xml:space="preserve">утвержденных приказом Министерства просвещения Российской Федерации.</w:t>
      </w:r>
      <w:r>
        <w:rPr>
          <w:rFonts w:ascii="Times New Roman" w:hAnsi="Times New Roman" w:cs="Times New Roman"/>
          <w:sz w:val="27"/>
          <w:szCs w:val="27"/>
        </w:rPr>
      </w:r>
      <w:r/>
    </w:p>
    <w:p>
      <w:pPr>
        <w:pStyle w:val="836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Направляем вам приказ Министерства просвещения Российской Федерации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от </w:t>
      </w:r>
      <w:r>
        <w:rPr>
          <w:rFonts w:ascii="Times New Roman" w:hAnsi="Times New Roman" w:cs="Times New Roman"/>
          <w:sz w:val="27"/>
          <w:szCs w:val="27"/>
        </w:rPr>
        <w:t xml:space="preserve">30</w:t>
      </w:r>
      <w:r>
        <w:rPr>
          <w:rFonts w:ascii="Times New Roman" w:hAnsi="Times New Roman" w:cs="Times New Roman"/>
          <w:sz w:val="27"/>
          <w:szCs w:val="27"/>
        </w:rPr>
        <w:t xml:space="preserve">.</w:t>
      </w:r>
      <w:r>
        <w:rPr>
          <w:rFonts w:ascii="Times New Roman" w:hAnsi="Times New Roman" w:cs="Times New Roman"/>
          <w:sz w:val="27"/>
          <w:szCs w:val="27"/>
        </w:rPr>
        <w:t xml:space="preserve">08</w:t>
      </w:r>
      <w:r>
        <w:rPr>
          <w:rFonts w:ascii="Times New Roman" w:hAnsi="Times New Roman" w:cs="Times New Roman"/>
          <w:sz w:val="27"/>
          <w:szCs w:val="27"/>
        </w:rPr>
        <w:t xml:space="preserve">.202</w:t>
      </w:r>
      <w:r>
        <w:rPr>
          <w:rFonts w:ascii="Times New Roman" w:hAnsi="Times New Roman" w:cs="Times New Roman"/>
          <w:sz w:val="27"/>
          <w:szCs w:val="27"/>
        </w:rPr>
        <w:t xml:space="preserve">4</w:t>
      </w:r>
      <w:r>
        <w:rPr>
          <w:rFonts w:ascii="Times New Roman" w:hAnsi="Times New Roman" w:cs="Times New Roman"/>
          <w:sz w:val="27"/>
          <w:szCs w:val="27"/>
        </w:rPr>
        <w:t xml:space="preserve"> № </w:t>
      </w:r>
      <w:r>
        <w:rPr>
          <w:rFonts w:ascii="Times New Roman" w:hAnsi="Times New Roman" w:cs="Times New Roman"/>
          <w:sz w:val="27"/>
          <w:szCs w:val="27"/>
        </w:rPr>
        <w:t xml:space="preserve">620</w:t>
      </w:r>
      <w:r>
        <w:rPr>
          <w:rFonts w:ascii="Times New Roman" w:hAnsi="Times New Roman" w:cs="Times New Roman"/>
          <w:sz w:val="27"/>
          <w:szCs w:val="27"/>
        </w:rPr>
        <w:t xml:space="preserve"> «</w:t>
      </w:r>
      <w:r>
        <w:rPr>
          <w:rFonts w:ascii="Times New Roman" w:hAnsi="Times New Roman" w:cs="Times New Roman"/>
          <w:sz w:val="27"/>
          <w:szCs w:val="27"/>
        </w:rPr>
        <w:t xml:space="preserve">Об утверждении перечня олимпиад и иных интеллектуальных и (или) творческих конкурсов, мероприятий, направленных на развитие интеллектуальных и творческих способностей, способностей к занятиям физической</w:t>
      </w:r>
      <w:r>
        <w:rPr>
          <w:rFonts w:ascii="Times New Roman" w:hAnsi="Times New Roman" w:cs="Times New Roman"/>
          <w:sz w:val="27"/>
          <w:szCs w:val="27"/>
        </w:rPr>
        <w:t xml:space="preserve"> культурой и спортом, интереса к научной (научно-исследовательской), инженерно-технической, изобретательской, творческой, физкультурно-спортивной деятельности, а также на пропаганду научных знаний, творческих и спортивных достижений, на 2024/25 учебный год</w:t>
      </w:r>
      <w:r>
        <w:rPr>
          <w:rFonts w:ascii="Times New Roman" w:hAnsi="Times New Roman" w:cs="Times New Roman"/>
          <w:sz w:val="27"/>
          <w:szCs w:val="27"/>
        </w:rPr>
        <w:t xml:space="preserve">» и</w:t>
      </w:r>
      <w:r>
        <w:rPr>
          <w:rFonts w:ascii="Times New Roman" w:hAnsi="Times New Roman" w:cs="Times New Roman"/>
          <w:sz w:val="27"/>
          <w:szCs w:val="27"/>
        </w:rPr>
        <w:t xml:space="preserve"> рекомендуем:</w:t>
      </w:r>
      <w:r>
        <w:rPr>
          <w:rFonts w:ascii="Times New Roman" w:hAnsi="Times New Roman" w:cs="Times New Roman"/>
          <w:sz w:val="27"/>
          <w:szCs w:val="27"/>
        </w:rPr>
      </w:r>
      <w:r/>
    </w:p>
    <w:p>
      <w:pPr>
        <w:pStyle w:val="836"/>
        <w:numPr>
          <w:ilvl w:val="3"/>
          <w:numId w:val="1"/>
        </w:numPr>
        <w:ind w:left="0" w:firstLine="851"/>
        <w:jc w:val="both"/>
        <w:tabs>
          <w:tab w:val="left" w:pos="1134" w:leader="none"/>
        </w:tabs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Принять информацию </w:t>
      </w:r>
      <w:r>
        <w:rPr>
          <w:rFonts w:ascii="Times New Roman" w:hAnsi="Times New Roman" w:cs="Times New Roman"/>
          <w:sz w:val="27"/>
          <w:szCs w:val="27"/>
        </w:rPr>
        <w:t xml:space="preserve">для использования в работе</w:t>
      </w:r>
      <w:r>
        <w:rPr>
          <w:rFonts w:ascii="Times New Roman" w:hAnsi="Times New Roman" w:cs="Times New Roman"/>
          <w:sz w:val="27"/>
          <w:szCs w:val="27"/>
        </w:rPr>
        <w:t xml:space="preserve">.</w:t>
      </w:r>
      <w:r>
        <w:rPr>
          <w:rFonts w:ascii="Times New Roman" w:hAnsi="Times New Roman" w:cs="Times New Roman"/>
          <w:sz w:val="27"/>
          <w:szCs w:val="27"/>
        </w:rPr>
      </w:r>
      <w:r/>
    </w:p>
    <w:p>
      <w:pPr>
        <w:pStyle w:val="836"/>
        <w:numPr>
          <w:ilvl w:val="3"/>
          <w:numId w:val="1"/>
        </w:numPr>
        <w:ind w:left="0" w:firstLine="851"/>
        <w:jc w:val="both"/>
        <w:tabs>
          <w:tab w:val="left" w:pos="1134" w:leader="none"/>
        </w:tabs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Разработать и п</w:t>
      </w:r>
      <w:r>
        <w:rPr>
          <w:rFonts w:ascii="Times New Roman" w:hAnsi="Times New Roman" w:cs="Times New Roman"/>
          <w:sz w:val="27"/>
          <w:szCs w:val="27"/>
        </w:rPr>
        <w:t xml:space="preserve">ринять комплекс мер, направленных </w:t>
      </w:r>
      <w:r>
        <w:rPr>
          <w:rFonts w:ascii="Times New Roman" w:hAnsi="Times New Roman" w:cs="Times New Roman"/>
          <w:sz w:val="27"/>
          <w:szCs w:val="27"/>
        </w:rPr>
        <w:t xml:space="preserve">на повышение эффективности механизмов управления качеством образования в части выявления детей в возрасте от 7 до 18 лет, проявивших выдающиеся способности, в том числе обеспечив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в</w:t>
      </w:r>
      <w:r>
        <w:rPr>
          <w:rFonts w:ascii="Times New Roman" w:hAnsi="Times New Roman" w:cs="Times New Roman"/>
          <w:sz w:val="27"/>
          <w:szCs w:val="27"/>
        </w:rPr>
        <w:t xml:space="preserve"> 2024-2025 учебн</w:t>
      </w:r>
      <w:r>
        <w:rPr>
          <w:rFonts w:ascii="Times New Roman" w:hAnsi="Times New Roman" w:cs="Times New Roman"/>
          <w:sz w:val="27"/>
          <w:szCs w:val="27"/>
        </w:rPr>
        <w:t xml:space="preserve">ом</w:t>
      </w:r>
      <w:r>
        <w:rPr>
          <w:rFonts w:ascii="Times New Roman" w:hAnsi="Times New Roman" w:cs="Times New Roman"/>
          <w:sz w:val="27"/>
          <w:szCs w:val="27"/>
        </w:rPr>
        <w:t xml:space="preserve"> го</w:t>
      </w:r>
      <w:r>
        <w:rPr>
          <w:rFonts w:ascii="Times New Roman" w:hAnsi="Times New Roman" w:cs="Times New Roman"/>
          <w:sz w:val="27"/>
          <w:szCs w:val="27"/>
        </w:rPr>
        <w:t xml:space="preserve">ду</w:t>
      </w:r>
      <w:r>
        <w:rPr>
          <w:rFonts w:ascii="Times New Roman" w:hAnsi="Times New Roman" w:cs="Times New Roman"/>
          <w:sz w:val="27"/>
          <w:szCs w:val="27"/>
        </w:rPr>
        <w:t xml:space="preserve">:</w:t>
      </w:r>
      <w:r>
        <w:rPr>
          <w:rFonts w:ascii="Times New Roman" w:hAnsi="Times New Roman" w:cs="Times New Roman"/>
          <w:sz w:val="27"/>
          <w:szCs w:val="27"/>
        </w:rPr>
      </w:r>
      <w:r/>
    </w:p>
    <w:p>
      <w:pPr>
        <w:pStyle w:val="836"/>
        <w:ind w:firstLine="851"/>
        <w:jc w:val="both"/>
        <w:tabs>
          <w:tab w:val="left" w:pos="1134" w:leader="none"/>
        </w:tabs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а)</w:t>
        <w:tab/>
      </w:r>
      <w:r>
        <w:rPr>
          <w:rFonts w:ascii="Times New Roman" w:hAnsi="Times New Roman" w:cs="Times New Roman"/>
          <w:sz w:val="27"/>
          <w:szCs w:val="27"/>
        </w:rPr>
        <w:t xml:space="preserve">активизацию мер по вовлеченности подведомственных общеобразовательных организаций и их обучающихся в участие в конкурсных (значимых) мероприятиях;</w:t>
      </w:r>
      <w:r>
        <w:rPr>
          <w:rFonts w:ascii="Times New Roman" w:hAnsi="Times New Roman" w:cs="Times New Roman"/>
          <w:sz w:val="27"/>
          <w:szCs w:val="27"/>
        </w:rPr>
      </w:r>
      <w:r/>
    </w:p>
    <w:p>
      <w:pPr>
        <w:pStyle w:val="836"/>
        <w:ind w:firstLine="851"/>
        <w:jc w:val="both"/>
        <w:tabs>
          <w:tab w:val="left" w:pos="1134" w:leader="none"/>
        </w:tabs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б) </w:t>
      </w:r>
      <w:r>
        <w:rPr>
          <w:rFonts w:ascii="Times New Roman" w:hAnsi="Times New Roman" w:cs="Times New Roman"/>
          <w:sz w:val="27"/>
          <w:szCs w:val="27"/>
        </w:rPr>
        <w:t xml:space="preserve">выполнение (достижение) прилагаемых плановых значений</w:t>
      </w:r>
      <w:r>
        <w:rPr>
          <w:rFonts w:ascii="Times New Roman" w:hAnsi="Times New Roman" w:cs="Times New Roman"/>
          <w:sz w:val="27"/>
          <w:szCs w:val="27"/>
        </w:rPr>
        <w:t xml:space="preserve"> показателей функционирования системы выявления, поддержки и развития способностей и талантов у детей и молодежи по вовлеченности подведомственных общеобразовательных организаций и их обучающихся в</w:t>
      </w:r>
      <w:r>
        <w:rPr>
          <w:rFonts w:ascii="Times New Roman" w:hAnsi="Times New Roman" w:cs="Times New Roman"/>
          <w:sz w:val="27"/>
          <w:szCs w:val="27"/>
        </w:rPr>
        <w:t xml:space="preserve"> </w:t>
      </w:r>
      <w:r>
        <w:rPr>
          <w:rFonts w:ascii="Times New Roman" w:hAnsi="Times New Roman" w:cs="Times New Roman"/>
          <w:sz w:val="27"/>
          <w:szCs w:val="27"/>
        </w:rPr>
        <w:t xml:space="preserve">участие </w:t>
      </w:r>
      <w:r>
        <w:rPr>
          <w:rFonts w:ascii="Times New Roman" w:hAnsi="Times New Roman" w:cs="Times New Roman"/>
          <w:sz w:val="27"/>
          <w:szCs w:val="27"/>
        </w:rPr>
        <w:t xml:space="preserve">во всероссийской олимпиаде школьников, Всероссийском конк</w:t>
      </w:r>
      <w:r>
        <w:rPr>
          <w:rFonts w:ascii="Times New Roman" w:hAnsi="Times New Roman" w:cs="Times New Roman"/>
          <w:sz w:val="27"/>
          <w:szCs w:val="27"/>
        </w:rPr>
        <w:t xml:space="preserve">урсе научно-технологических проектов «Большие вызовы», Национальной технологической олимпиаде Junior, Национальной технологической олимпиаде, Всероссийском конкурсе среди учащихся общеобразовательных учреждений сельских поселений и малых городов «АгроНТРИ»</w:t>
      </w:r>
      <w:r>
        <w:rPr>
          <w:rFonts w:ascii="Times New Roman" w:hAnsi="Times New Roman" w:cs="Times New Roman"/>
          <w:sz w:val="27"/>
          <w:szCs w:val="27"/>
        </w:rPr>
        <w:t xml:space="preserve">;</w:t>
      </w:r>
      <w:r>
        <w:rPr>
          <w:rFonts w:ascii="Times New Roman" w:hAnsi="Times New Roman" w:cs="Times New Roman"/>
          <w:sz w:val="27"/>
          <w:szCs w:val="27"/>
        </w:rPr>
      </w:r>
      <w:r/>
    </w:p>
    <w:p>
      <w:pPr>
        <w:pStyle w:val="836"/>
        <w:ind w:firstLine="851"/>
        <w:jc w:val="both"/>
        <w:tabs>
          <w:tab w:val="left" w:pos="1134" w:leader="none"/>
        </w:tabs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</w:t>
      </w:r>
      <w:r>
        <w:rPr>
          <w:rFonts w:ascii="Times New Roman" w:hAnsi="Times New Roman" w:cs="Times New Roman"/>
          <w:sz w:val="27"/>
          <w:szCs w:val="27"/>
        </w:rPr>
        <w:t xml:space="preserve">)</w:t>
        <w:tab/>
      </w:r>
      <w:r>
        <w:rPr>
          <w:rFonts w:ascii="Times New Roman" w:hAnsi="Times New Roman" w:cs="Times New Roman"/>
          <w:sz w:val="27"/>
          <w:szCs w:val="27"/>
        </w:rPr>
        <w:t xml:space="preserve">внедрение и реализацию системы наставничества в проектно-исследовательской и кружковой деятельности</w:t>
      </w:r>
      <w:r>
        <w:rPr>
          <w:rFonts w:ascii="Times New Roman" w:hAnsi="Times New Roman" w:cs="Times New Roman"/>
          <w:sz w:val="27"/>
          <w:szCs w:val="27"/>
        </w:rPr>
        <w:t xml:space="preserve">, методическое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сопровождение и оказание адресной помощи подведомственным общеобразовательным организациям по </w:t>
      </w:r>
      <w:r>
        <w:rPr>
          <w:rFonts w:ascii="Times New Roman" w:hAnsi="Times New Roman" w:cs="Times New Roman"/>
          <w:sz w:val="27"/>
          <w:szCs w:val="27"/>
        </w:rPr>
        <w:t xml:space="preserve">построени</w:t>
      </w:r>
      <w:r>
        <w:rPr>
          <w:rFonts w:ascii="Times New Roman" w:hAnsi="Times New Roman" w:cs="Times New Roman"/>
          <w:sz w:val="27"/>
          <w:szCs w:val="27"/>
        </w:rPr>
        <w:t xml:space="preserve">ю</w:t>
      </w:r>
      <w:r>
        <w:rPr>
          <w:rFonts w:ascii="Times New Roman" w:hAnsi="Times New Roman" w:cs="Times New Roman"/>
          <w:sz w:val="27"/>
          <w:szCs w:val="27"/>
        </w:rPr>
        <w:t xml:space="preserve"> индивидуальных образовательных траекторий</w:t>
      </w:r>
      <w:r>
        <w:rPr>
          <w:rFonts w:ascii="Times New Roman" w:hAnsi="Times New Roman" w:cs="Times New Roman"/>
          <w:sz w:val="27"/>
          <w:szCs w:val="27"/>
        </w:rPr>
        <w:t xml:space="preserve">, нацеленных на подготовку обучающихся к </w:t>
      </w:r>
      <w:r>
        <w:rPr>
          <w:rFonts w:ascii="Times New Roman" w:hAnsi="Times New Roman" w:cs="Times New Roman"/>
          <w:sz w:val="27"/>
          <w:szCs w:val="27"/>
        </w:rPr>
        <w:t xml:space="preserve">участи</w:t>
      </w:r>
      <w:r>
        <w:rPr>
          <w:rFonts w:ascii="Times New Roman" w:hAnsi="Times New Roman" w:cs="Times New Roman"/>
          <w:sz w:val="27"/>
          <w:szCs w:val="27"/>
        </w:rPr>
        <w:t xml:space="preserve">ю</w:t>
      </w:r>
      <w:r>
        <w:rPr>
          <w:rFonts w:ascii="Times New Roman" w:hAnsi="Times New Roman" w:cs="Times New Roman"/>
          <w:sz w:val="27"/>
          <w:szCs w:val="27"/>
        </w:rPr>
        <w:t xml:space="preserve"> в конкурсных</w:t>
      </w:r>
      <w:r>
        <w:rPr>
          <w:rFonts w:ascii="Times New Roman" w:hAnsi="Times New Roman" w:cs="Times New Roman"/>
          <w:sz w:val="27"/>
          <w:szCs w:val="27"/>
        </w:rPr>
        <w:t xml:space="preserve"> (значимых) мероприятиях</w:t>
      </w:r>
      <w:r>
        <w:rPr>
          <w:rFonts w:ascii="Times New Roman" w:hAnsi="Times New Roman" w:cs="Times New Roman"/>
          <w:sz w:val="27"/>
          <w:szCs w:val="27"/>
        </w:rPr>
        <w:t xml:space="preserve"> с целью повышения </w:t>
      </w:r>
      <w:r>
        <w:rPr>
          <w:rFonts w:ascii="Times New Roman" w:hAnsi="Times New Roman" w:cs="Times New Roman"/>
          <w:sz w:val="27"/>
          <w:szCs w:val="27"/>
        </w:rPr>
        <w:t xml:space="preserve">их </w:t>
      </w:r>
      <w:r>
        <w:rPr>
          <w:rFonts w:ascii="Times New Roman" w:hAnsi="Times New Roman" w:cs="Times New Roman"/>
          <w:sz w:val="27"/>
          <w:szCs w:val="27"/>
        </w:rPr>
        <w:t xml:space="preserve">результативности</w:t>
      </w:r>
      <w:r>
        <w:rPr>
          <w:rFonts w:ascii="Times New Roman" w:hAnsi="Times New Roman" w:cs="Times New Roman"/>
          <w:sz w:val="27"/>
          <w:szCs w:val="27"/>
        </w:rPr>
        <w:t xml:space="preserve">.</w:t>
      </w:r>
      <w:r>
        <w:rPr>
          <w:rFonts w:ascii="Times New Roman" w:hAnsi="Times New Roman" w:cs="Times New Roman"/>
          <w:sz w:val="27"/>
          <w:szCs w:val="27"/>
        </w:rPr>
      </w:r>
      <w:r/>
    </w:p>
    <w:p>
      <w:pPr>
        <w:pStyle w:val="836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Дополнительно обращаем ваше внимание, что в соответствии с Указом Президента Российской Федерации от 04.02.2021 № 68 в Перечень показателей для оценки э</w:t>
      </w:r>
      <w:r>
        <w:rPr>
          <w:rFonts w:ascii="Times New Roman" w:hAnsi="Times New Roman" w:cs="Times New Roman"/>
          <w:sz w:val="27"/>
          <w:szCs w:val="27"/>
        </w:rPr>
        <w:t xml:space="preserve">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 входит показатель «Эффективнос</w:t>
      </w:r>
      <w:r>
        <w:rPr>
          <w:rFonts w:ascii="Times New Roman" w:hAnsi="Times New Roman" w:cs="Times New Roman"/>
          <w:sz w:val="27"/>
          <w:szCs w:val="27"/>
        </w:rPr>
        <w:t xml:space="preserve">ть системы выявления, поддержки и развития способностей и талантов у детей и молодежи». В соответствии с методикой расчета показателя «Эффективность системы выявления, поддержки и развития способностей и талантов у детей и молодежи» за отчетный период (про</w:t>
      </w:r>
      <w:r>
        <w:rPr>
          <w:rFonts w:ascii="Times New Roman" w:hAnsi="Times New Roman" w:cs="Times New Roman"/>
          <w:sz w:val="27"/>
          <w:szCs w:val="27"/>
        </w:rPr>
        <w:t xml:space="preserve">шедший год), а также на период до 2030 года включительно, в том числе на отчетный период (текущий год) и на плановый период, составляющий два года, следующие за отчетным периодом, утвержденной постановлением Правительства Российской Федерации от 03.04.2021</w:t>
      </w:r>
      <w:r>
        <w:rPr>
          <w:rFonts w:ascii="Times New Roman" w:hAnsi="Times New Roman" w:cs="Times New Roman"/>
          <w:sz w:val="27"/>
          <w:szCs w:val="27"/>
        </w:rPr>
        <w:t xml:space="preserve"> № 542, значение показателя зависит, в том числе, от доли </w:t>
      </w:r>
      <w:r>
        <w:rPr>
          <w:rFonts w:ascii="Times New Roman" w:hAnsi="Times New Roman" w:cs="Times New Roman"/>
          <w:sz w:val="27"/>
          <w:szCs w:val="27"/>
        </w:rPr>
        <w:t xml:space="preserve">детей и молодежи в возрасте от 7 до 35 лет, у которых выявлены выдающиеся способности и таланты (процентов).</w:t>
      </w:r>
      <w:r>
        <w:rPr>
          <w:rFonts w:ascii="Times New Roman" w:hAnsi="Times New Roman" w:cs="Times New Roman"/>
          <w:sz w:val="27"/>
          <w:szCs w:val="27"/>
        </w:rPr>
      </w:r>
      <w:r/>
    </w:p>
    <w:p>
      <w:pPr>
        <w:pStyle w:val="836"/>
        <w:ind w:firstLine="851"/>
        <w:jc w:val="both"/>
        <w:tabs>
          <w:tab w:val="left" w:pos="1134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</w:rPr>
      </w:r>
      <w:r/>
    </w:p>
    <w:p>
      <w:pPr>
        <w:pStyle w:val="836"/>
        <w:ind w:firstLine="851"/>
        <w:jc w:val="both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Приложение: на 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20</w:t>
      </w:r>
      <w:r>
        <w:rPr>
          <w:rFonts w:ascii="Times New Roman" w:hAnsi="Times New Roman" w:cs="Times New Roman"/>
          <w:sz w:val="28"/>
          <w:szCs w:val="28"/>
        </w:rPr>
        <w:t xml:space="preserve"> л. в 1 экз.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</w:rPr>
      </w:r>
      <w:r/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</w:rPr>
      </w:r>
      <w:r/>
    </w:p>
    <w:p>
      <w:pPr>
        <w:pStyle w:val="816"/>
        <w:jc w:val="both"/>
        <w:rPr>
          <w:rFonts w:ascii="Liberation Serif" w:hAnsi="Liberation Serif" w:cs="Liberation Serif"/>
          <w:sz w:val="28"/>
          <w:szCs w:val="28"/>
          <w:highlight w:val="none"/>
        </w:rPr>
      </w:pPr>
      <w:r>
        <w:rPr>
          <w:rFonts w:ascii="Liberation Serif" w:hAnsi="Liberation Serif" w:cs="Liberation Serif"/>
          <w:sz w:val="28"/>
          <w:szCs w:val="28"/>
          <w:highlight w:val="none"/>
        </w:rPr>
      </w:r>
      <w:r>
        <w:rPr>
          <w:rFonts w:ascii="Liberation Serif" w:hAnsi="Liberation Serif" w:cs="Liberation Serif"/>
        </w:rPr>
      </w:r>
      <w:r/>
    </w:p>
    <w:p>
      <w:pPr>
        <w:pStyle w:val="816"/>
        <w:jc w:val="both"/>
        <w:rPr>
          <w:rFonts w:ascii="Liberation Serif" w:hAnsi="Liberation Serif" w:cs="Liberation Serif"/>
          <w:sz w:val="28"/>
          <w:szCs w:val="28"/>
          <w:highlight w:val="none"/>
        </w:rPr>
      </w:pPr>
      <w:r>
        <w:rPr>
          <w:rFonts w:ascii="Liberation Serif" w:hAnsi="Liberation Serif" w:cs="Liberation Serif"/>
          <w:sz w:val="28"/>
          <w:szCs w:val="28"/>
          <w:highlight w:val="none"/>
        </w:rPr>
      </w:r>
      <w:r>
        <w:rPr>
          <w:rFonts w:ascii="Liberation Serif" w:hAnsi="Liberation Serif" w:cs="Liberation Serif"/>
          <w:sz w:val="28"/>
          <w:szCs w:val="28"/>
        </w:rPr>
        <w:t xml:space="preserve">Заместитель министра</w:t>
        <w:tab/>
        <w:tab/>
        <w:tab/>
        <w:t xml:space="preserve">     </w:t>
      </w:r>
      <w:r>
        <w:rPr>
          <w:rFonts w:ascii="Liberation Serif" w:hAnsi="Liberation Serif" w:cs="Liberation Serif"/>
          <w:color w:val="f2f2f2"/>
          <w:sz w:val="28"/>
          <w:szCs w:val="28"/>
        </w:rPr>
        <w:t xml:space="preserve">[МЕСТО ДЛЯ ПОДПИСИ</w:t>
      </w:r>
      <w:r>
        <w:rPr>
          <w:color w:val="f2f2f2"/>
          <w:lang w:val="en-US"/>
        </w:rPr>
        <w:t xml:space="preserve">]</w:t>
      </w:r>
      <w:r>
        <w:rPr>
          <w:rFonts w:ascii="Liberation Serif" w:hAnsi="Liberation Serif" w:cs="Liberation Serif"/>
          <w:sz w:val="28"/>
          <w:szCs w:val="28"/>
          <w:highlight w:val="none"/>
        </w:rPr>
        <w:t xml:space="preserve">     В.Н. Щукин</w:t>
      </w:r>
      <w:r>
        <w:rPr>
          <w:rFonts w:ascii="Liberation Serif" w:hAnsi="Liberation Serif" w:cs="Liberation Serif"/>
        </w:rPr>
      </w:r>
      <w:r/>
    </w:p>
    <w:p>
      <w:pPr>
        <w:rPr>
          <w:rFonts w:ascii="Times New Roman" w:hAnsi="Times New Roman" w:eastAsia="Times New Roman" w:cs="Times New Roman"/>
          <w:sz w:val="18"/>
          <w:szCs w:val="18"/>
          <w:highlight w:val="none"/>
        </w:rPr>
      </w:pPr>
      <w:r>
        <w:rPr>
          <w:rFonts w:ascii="Times New Roman" w:hAnsi="Times New Roman" w:eastAsia="Times New Roman" w:cs="Times New Roman"/>
          <w:sz w:val="18"/>
          <w:szCs w:val="18"/>
          <w:highlight w:val="none"/>
        </w:rPr>
      </w:r>
      <w:r>
        <w:rPr>
          <w:rFonts w:ascii="Times New Roman" w:hAnsi="Times New Roman" w:eastAsia="Times New Roman" w:cs="Times New Roman"/>
          <w:sz w:val="18"/>
          <w:szCs w:val="18"/>
          <w:highlight w:val="none"/>
        </w:rPr>
      </w:r>
      <w:r/>
    </w:p>
    <w:p>
      <w:pPr>
        <w:rPr>
          <w:rFonts w:ascii="Times New Roman" w:hAnsi="Times New Roman" w:eastAsia="Times New Roman" w:cs="Times New Roman"/>
          <w:sz w:val="18"/>
          <w:szCs w:val="18"/>
          <w:highlight w:val="none"/>
        </w:rPr>
      </w:pPr>
      <w:r>
        <w:rPr>
          <w:rFonts w:ascii="Times New Roman" w:hAnsi="Times New Roman" w:eastAsia="Times New Roman" w:cs="Times New Roman"/>
          <w:sz w:val="18"/>
          <w:szCs w:val="18"/>
          <w:highlight w:val="none"/>
        </w:rPr>
      </w:r>
      <w:r>
        <w:rPr>
          <w:rFonts w:ascii="Times New Roman" w:hAnsi="Times New Roman" w:eastAsia="Times New Roman" w:cs="Times New Roman"/>
          <w:sz w:val="18"/>
          <w:szCs w:val="18"/>
          <w:highlight w:val="none"/>
        </w:rPr>
      </w:r>
      <w:r/>
    </w:p>
    <w:p>
      <w:pPr>
        <w:rPr>
          <w:rFonts w:ascii="Times New Roman" w:hAnsi="Times New Roman" w:eastAsia="Times New Roman" w:cs="Times New Roman"/>
          <w:sz w:val="18"/>
          <w:szCs w:val="18"/>
          <w:highlight w:val="none"/>
        </w:rPr>
      </w:pPr>
      <w:r>
        <w:rPr>
          <w:rFonts w:ascii="Times New Roman" w:hAnsi="Times New Roman" w:eastAsia="Times New Roman" w:cs="Times New Roman"/>
          <w:sz w:val="18"/>
          <w:szCs w:val="18"/>
          <w:highlight w:val="none"/>
        </w:rPr>
        <w:t xml:space="preserve">Е.В. Ледовская </w:t>
      </w:r>
      <w:r/>
    </w:p>
    <w:p>
      <w:pPr>
        <w:rPr>
          <w:rFonts w:ascii="Times New Roman" w:hAnsi="Times New Roman" w:eastAsia="Times New Roman" w:cs="Times New Roman"/>
          <w:sz w:val="18"/>
          <w:szCs w:val="18"/>
          <w:highlight w:val="none"/>
        </w:rPr>
      </w:pPr>
      <w:r>
        <w:rPr>
          <w:rFonts w:ascii="Times New Roman" w:hAnsi="Times New Roman" w:eastAsia="Times New Roman" w:cs="Times New Roman"/>
          <w:sz w:val="18"/>
          <w:szCs w:val="16"/>
        </w:rPr>
        <w:t xml:space="preserve">238 74 15 </w:t>
      </w:r>
      <w:r/>
    </w:p>
    <w:sectPr>
      <w:footnotePr/>
      <w:endnotePr/>
      <w:type w:val="nextPage"/>
      <w:pgSz w:w="11906" w:h="16838" w:orient="portrait"/>
      <w:pgMar w:top="708" w:right="567" w:bottom="681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571" w:hanging="360"/>
        <w:tabs>
          <w:tab w:val="num" w:pos="0" w:leader="none"/>
        </w:tabs>
      </w:pPr>
      <w:rPr>
        <w:rFonts w:ascii="Times New Roman" w:hAnsi="Times New Roman" w:cs="Times New Roman"/>
        <w:sz w:val="28"/>
        <w:szCs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2291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3011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731" w:hanging="360"/>
        <w:tabs>
          <w:tab w:val="num" w:pos="0" w:leader="none"/>
        </w:tabs>
      </w:pPr>
      <w:rPr>
        <w:rFonts w:ascii="Times New Roman" w:hAnsi="Times New Roman" w:cs="Times New Roman"/>
        <w:sz w:val="28"/>
        <w:szCs w:val="28"/>
      </w:rPr>
    </w:lvl>
    <w:lvl w:ilvl="4">
      <w:start w:val="1"/>
      <w:numFmt w:val="lowerLetter"/>
      <w:isLgl w:val="false"/>
      <w:suff w:val="tab"/>
      <w:lvlText w:val="%5."/>
      <w:lvlJc w:val="left"/>
      <w:pPr>
        <w:ind w:left="4451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5171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891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611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331" w:hanging="180"/>
        <w:tabs>
          <w:tab w:val="num" w:pos="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8">
    <w:name w:val="Heading 1"/>
    <w:link w:val="63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9">
    <w:name w:val="Heading 1 Char"/>
    <w:link w:val="638"/>
    <w:uiPriority w:val="9"/>
    <w:rPr>
      <w:rFonts w:ascii="Arial" w:hAnsi="Arial" w:eastAsia="Arial" w:cs="Arial"/>
      <w:sz w:val="40"/>
      <w:szCs w:val="40"/>
    </w:rPr>
  </w:style>
  <w:style w:type="paragraph" w:styleId="640">
    <w:name w:val="Heading 2"/>
    <w:link w:val="64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41">
    <w:name w:val="Heading 2 Char"/>
    <w:link w:val="640"/>
    <w:uiPriority w:val="9"/>
    <w:rPr>
      <w:rFonts w:ascii="Arial" w:hAnsi="Arial" w:eastAsia="Arial" w:cs="Arial"/>
      <w:sz w:val="34"/>
    </w:rPr>
  </w:style>
  <w:style w:type="paragraph" w:styleId="642">
    <w:name w:val="Heading 3"/>
    <w:link w:val="64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3">
    <w:name w:val="Heading 3 Char"/>
    <w:link w:val="642"/>
    <w:uiPriority w:val="9"/>
    <w:rPr>
      <w:rFonts w:ascii="Arial" w:hAnsi="Arial" w:eastAsia="Arial" w:cs="Arial"/>
      <w:sz w:val="30"/>
      <w:szCs w:val="30"/>
    </w:rPr>
  </w:style>
  <w:style w:type="paragraph" w:styleId="644">
    <w:name w:val="Heading 4"/>
    <w:link w:val="64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5">
    <w:name w:val="Heading 4 Char"/>
    <w:link w:val="644"/>
    <w:uiPriority w:val="9"/>
    <w:rPr>
      <w:rFonts w:ascii="Arial" w:hAnsi="Arial" w:eastAsia="Arial" w:cs="Arial"/>
      <w:b/>
      <w:bCs/>
      <w:sz w:val="26"/>
      <w:szCs w:val="26"/>
    </w:rPr>
  </w:style>
  <w:style w:type="paragraph" w:styleId="646">
    <w:name w:val="Heading 5"/>
    <w:link w:val="64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7">
    <w:name w:val="Heading 5 Char"/>
    <w:link w:val="646"/>
    <w:uiPriority w:val="9"/>
    <w:rPr>
      <w:rFonts w:ascii="Arial" w:hAnsi="Arial" w:eastAsia="Arial" w:cs="Arial"/>
      <w:b/>
      <w:bCs/>
      <w:sz w:val="24"/>
      <w:szCs w:val="24"/>
    </w:rPr>
  </w:style>
  <w:style w:type="paragraph" w:styleId="648">
    <w:name w:val="Heading 6"/>
    <w:link w:val="64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9">
    <w:name w:val="Heading 6 Char"/>
    <w:link w:val="648"/>
    <w:uiPriority w:val="9"/>
    <w:rPr>
      <w:rFonts w:ascii="Arial" w:hAnsi="Arial" w:eastAsia="Arial" w:cs="Arial"/>
      <w:b/>
      <w:bCs/>
      <w:sz w:val="22"/>
      <w:szCs w:val="22"/>
    </w:rPr>
  </w:style>
  <w:style w:type="paragraph" w:styleId="650">
    <w:name w:val="Heading 7"/>
    <w:link w:val="65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51">
    <w:name w:val="Heading 7 Char"/>
    <w:link w:val="65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2">
    <w:name w:val="Heading 8"/>
    <w:link w:val="65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3">
    <w:name w:val="Heading 8 Char"/>
    <w:link w:val="652"/>
    <w:uiPriority w:val="9"/>
    <w:rPr>
      <w:rFonts w:ascii="Arial" w:hAnsi="Arial" w:eastAsia="Arial" w:cs="Arial"/>
      <w:i/>
      <w:iCs/>
      <w:sz w:val="22"/>
      <w:szCs w:val="22"/>
    </w:rPr>
  </w:style>
  <w:style w:type="paragraph" w:styleId="654">
    <w:name w:val="Heading 9"/>
    <w:link w:val="65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5">
    <w:name w:val="Heading 9 Char"/>
    <w:link w:val="654"/>
    <w:uiPriority w:val="9"/>
    <w:rPr>
      <w:rFonts w:ascii="Arial" w:hAnsi="Arial" w:eastAsia="Arial" w:cs="Arial"/>
      <w:i/>
      <w:iCs/>
      <w:sz w:val="21"/>
      <w:szCs w:val="21"/>
    </w:rPr>
  </w:style>
  <w:style w:type="paragraph" w:styleId="656">
    <w:name w:val="List Paragraph"/>
    <w:uiPriority w:val="34"/>
    <w:qFormat/>
    <w:pPr>
      <w:contextualSpacing/>
      <w:ind w:left="720"/>
    </w:pPr>
  </w:style>
  <w:style w:type="paragraph" w:styleId="657">
    <w:name w:val="No Spacing"/>
    <w:uiPriority w:val="1"/>
    <w:qFormat/>
    <w:pPr>
      <w:spacing w:before="0" w:after="0" w:line="240" w:lineRule="auto"/>
    </w:pPr>
  </w:style>
  <w:style w:type="paragraph" w:styleId="658">
    <w:name w:val="Title"/>
    <w:link w:val="65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9">
    <w:name w:val="Title Char"/>
    <w:link w:val="658"/>
    <w:uiPriority w:val="10"/>
    <w:rPr>
      <w:sz w:val="48"/>
      <w:szCs w:val="48"/>
    </w:rPr>
  </w:style>
  <w:style w:type="paragraph" w:styleId="660">
    <w:name w:val="Subtitle"/>
    <w:link w:val="661"/>
    <w:uiPriority w:val="11"/>
    <w:qFormat/>
    <w:pPr>
      <w:spacing w:before="200" w:after="200"/>
    </w:pPr>
    <w:rPr>
      <w:sz w:val="24"/>
      <w:szCs w:val="24"/>
    </w:rPr>
  </w:style>
  <w:style w:type="character" w:styleId="661">
    <w:name w:val="Subtitle Char"/>
    <w:link w:val="660"/>
    <w:uiPriority w:val="11"/>
    <w:rPr>
      <w:sz w:val="24"/>
      <w:szCs w:val="24"/>
    </w:rPr>
  </w:style>
  <w:style w:type="paragraph" w:styleId="662">
    <w:name w:val="Quote"/>
    <w:link w:val="663"/>
    <w:uiPriority w:val="29"/>
    <w:qFormat/>
    <w:pPr>
      <w:ind w:left="720" w:right="720"/>
    </w:pPr>
    <w:rPr>
      <w:i/>
    </w:rPr>
  </w:style>
  <w:style w:type="character" w:styleId="663">
    <w:name w:val="Quote Char"/>
    <w:link w:val="662"/>
    <w:uiPriority w:val="29"/>
    <w:rPr>
      <w:i/>
    </w:rPr>
  </w:style>
  <w:style w:type="paragraph" w:styleId="664">
    <w:name w:val="Intense Quote"/>
    <w:link w:val="66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5">
    <w:name w:val="Intense Quote Char"/>
    <w:link w:val="664"/>
    <w:uiPriority w:val="30"/>
    <w:rPr>
      <w:i/>
    </w:rPr>
  </w:style>
  <w:style w:type="paragraph" w:styleId="666">
    <w:name w:val="Header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Header Char"/>
    <w:link w:val="666"/>
    <w:uiPriority w:val="99"/>
  </w:style>
  <w:style w:type="paragraph" w:styleId="668">
    <w:name w:val="Footer"/>
    <w:link w:val="67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9">
    <w:name w:val="Footer Char"/>
    <w:link w:val="668"/>
    <w:uiPriority w:val="99"/>
  </w:style>
  <w:style w:type="paragraph" w:styleId="670">
    <w:name w:val="Caption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1">
    <w:name w:val="Caption Char"/>
    <w:basedOn w:val="670"/>
    <w:link w:val="668"/>
    <w:uiPriority w:val="99"/>
  </w:style>
  <w:style w:type="table" w:styleId="67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1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8">
    <w:name w:val="Hyperlink"/>
    <w:uiPriority w:val="99"/>
    <w:unhideWhenUsed/>
    <w:rPr>
      <w:color w:val="0000ff" w:themeColor="hyperlink"/>
      <w:u w:val="single"/>
    </w:rPr>
  </w:style>
  <w:style w:type="paragraph" w:styleId="799">
    <w:name w:val="footnote text"/>
    <w:link w:val="800"/>
    <w:uiPriority w:val="99"/>
    <w:semiHidden/>
    <w:unhideWhenUsed/>
    <w:pPr>
      <w:spacing w:after="40" w:line="240" w:lineRule="auto"/>
    </w:pPr>
    <w:rPr>
      <w:sz w:val="18"/>
    </w:rPr>
  </w:style>
  <w:style w:type="character" w:styleId="800">
    <w:name w:val="Footnote Text Char"/>
    <w:link w:val="799"/>
    <w:uiPriority w:val="99"/>
    <w:rPr>
      <w:sz w:val="18"/>
    </w:rPr>
  </w:style>
  <w:style w:type="character" w:styleId="801">
    <w:name w:val="footnote reference"/>
    <w:uiPriority w:val="99"/>
    <w:unhideWhenUsed/>
    <w:rPr>
      <w:vertAlign w:val="superscript"/>
    </w:rPr>
  </w:style>
  <w:style w:type="paragraph" w:styleId="802">
    <w:name w:val="endnote text"/>
    <w:link w:val="803"/>
    <w:uiPriority w:val="99"/>
    <w:semiHidden/>
    <w:unhideWhenUsed/>
    <w:pPr>
      <w:spacing w:after="0" w:line="240" w:lineRule="auto"/>
    </w:pPr>
    <w:rPr>
      <w:sz w:val="20"/>
    </w:rPr>
  </w:style>
  <w:style w:type="character" w:styleId="803">
    <w:name w:val="Endnote Text Char"/>
    <w:link w:val="802"/>
    <w:uiPriority w:val="99"/>
    <w:rPr>
      <w:sz w:val="20"/>
    </w:rPr>
  </w:style>
  <w:style w:type="character" w:styleId="804">
    <w:name w:val="endnote reference"/>
    <w:uiPriority w:val="99"/>
    <w:semiHidden/>
    <w:unhideWhenUsed/>
    <w:rPr>
      <w:vertAlign w:val="superscript"/>
    </w:rPr>
  </w:style>
  <w:style w:type="paragraph" w:styleId="805">
    <w:name w:val="toc 1"/>
    <w:uiPriority w:val="39"/>
    <w:unhideWhenUsed/>
    <w:pPr>
      <w:ind w:left="0" w:right="0" w:firstLine="0"/>
      <w:spacing w:after="57"/>
    </w:pPr>
  </w:style>
  <w:style w:type="paragraph" w:styleId="806">
    <w:name w:val="toc 2"/>
    <w:uiPriority w:val="39"/>
    <w:unhideWhenUsed/>
    <w:pPr>
      <w:ind w:left="283" w:right="0" w:firstLine="0"/>
      <w:spacing w:after="57"/>
    </w:pPr>
  </w:style>
  <w:style w:type="paragraph" w:styleId="807">
    <w:name w:val="toc 3"/>
    <w:uiPriority w:val="39"/>
    <w:unhideWhenUsed/>
    <w:pPr>
      <w:ind w:left="567" w:right="0" w:firstLine="0"/>
      <w:spacing w:after="57"/>
    </w:pPr>
  </w:style>
  <w:style w:type="paragraph" w:styleId="808">
    <w:name w:val="toc 4"/>
    <w:uiPriority w:val="39"/>
    <w:unhideWhenUsed/>
    <w:pPr>
      <w:ind w:left="850" w:right="0" w:firstLine="0"/>
      <w:spacing w:after="57"/>
    </w:pPr>
  </w:style>
  <w:style w:type="paragraph" w:styleId="809">
    <w:name w:val="toc 5"/>
    <w:uiPriority w:val="39"/>
    <w:unhideWhenUsed/>
    <w:pPr>
      <w:ind w:left="1134" w:right="0" w:firstLine="0"/>
      <w:spacing w:after="57"/>
    </w:pPr>
  </w:style>
  <w:style w:type="paragraph" w:styleId="810">
    <w:name w:val="toc 6"/>
    <w:uiPriority w:val="39"/>
    <w:unhideWhenUsed/>
    <w:pPr>
      <w:ind w:left="1417" w:right="0" w:firstLine="0"/>
      <w:spacing w:after="57"/>
    </w:pPr>
  </w:style>
  <w:style w:type="paragraph" w:styleId="811">
    <w:name w:val="toc 7"/>
    <w:uiPriority w:val="39"/>
    <w:unhideWhenUsed/>
    <w:pPr>
      <w:ind w:left="1701" w:right="0" w:firstLine="0"/>
      <w:spacing w:after="57"/>
    </w:pPr>
  </w:style>
  <w:style w:type="paragraph" w:styleId="812">
    <w:name w:val="toc 8"/>
    <w:uiPriority w:val="39"/>
    <w:unhideWhenUsed/>
    <w:pPr>
      <w:ind w:left="1984" w:right="0" w:firstLine="0"/>
      <w:spacing w:after="57"/>
    </w:pPr>
  </w:style>
  <w:style w:type="paragraph" w:styleId="813">
    <w:name w:val="toc 9"/>
    <w:uiPriority w:val="39"/>
    <w:unhideWhenUsed/>
    <w:pPr>
      <w:ind w:left="2268" w:right="0" w:firstLine="0"/>
      <w:spacing w:after="57"/>
    </w:pPr>
  </w:style>
  <w:style w:type="paragraph" w:styleId="814">
    <w:name w:val="TOC Heading"/>
    <w:uiPriority w:val="39"/>
    <w:unhideWhenUsed/>
  </w:style>
  <w:style w:type="paragraph" w:styleId="815">
    <w:name w:val="table of figures"/>
    <w:uiPriority w:val="99"/>
    <w:unhideWhenUsed/>
    <w:pPr>
      <w:spacing w:after="0" w:afterAutospacing="0"/>
    </w:pPr>
  </w:style>
  <w:style w:type="paragraph" w:styleId="816">
    <w:name w:val="Обычный"/>
    <w:next w:val="816"/>
    <w:link w:val="816"/>
    <w:rPr>
      <w:rFonts w:ascii="Times New Roman" w:hAnsi="Times New Roman" w:eastAsia="Times New Roman"/>
      <w:sz w:val="28"/>
      <w:szCs w:val="28"/>
      <w:lang w:val="ru-RU" w:eastAsia="ru-RU" w:bidi="ar-SA"/>
    </w:rPr>
  </w:style>
  <w:style w:type="character" w:styleId="817">
    <w:name w:val="Основной шрифт абзаца"/>
    <w:next w:val="817"/>
    <w:link w:val="816"/>
    <w:semiHidden/>
  </w:style>
  <w:style w:type="table" w:styleId="818">
    <w:name w:val="Обычная таблица"/>
    <w:next w:val="818"/>
    <w:link w:val="816"/>
    <w:semiHidden/>
    <w:tblPr/>
  </w:style>
  <w:style w:type="numbering" w:styleId="819">
    <w:name w:val="Нет списка"/>
    <w:next w:val="819"/>
    <w:link w:val="816"/>
    <w:semiHidden/>
  </w:style>
  <w:style w:type="paragraph" w:styleId="820">
    <w:name w:val="Верхний колонтитул"/>
    <w:basedOn w:val="816"/>
    <w:next w:val="820"/>
    <w:link w:val="821"/>
    <w:pPr>
      <w:tabs>
        <w:tab w:val="center" w:pos="4153" w:leader="none"/>
        <w:tab w:val="right" w:pos="8306" w:leader="none"/>
      </w:tabs>
    </w:pPr>
  </w:style>
  <w:style w:type="character" w:styleId="821">
    <w:name w:val="Верхний колонтитул Знак"/>
    <w:next w:val="821"/>
    <w:link w:val="820"/>
    <w:rPr>
      <w:rFonts w:ascii="Times New Roman" w:hAnsi="Times New Roman" w:eastAsia="Times New Roman"/>
      <w:sz w:val="28"/>
      <w:szCs w:val="28"/>
      <w:lang w:eastAsia="ru-RU"/>
    </w:rPr>
  </w:style>
  <w:style w:type="character" w:styleId="822">
    <w:name w:val="Гиперссылка"/>
    <w:next w:val="822"/>
    <w:link w:val="816"/>
    <w:rPr>
      <w:color w:val="0000ff"/>
      <w:u w:val="single"/>
    </w:rPr>
  </w:style>
  <w:style w:type="paragraph" w:styleId="823">
    <w:name w:val="Основной текст 2"/>
    <w:basedOn w:val="816"/>
    <w:next w:val="823"/>
    <w:link w:val="824"/>
    <w:pPr>
      <w:jc w:val="both"/>
    </w:pPr>
  </w:style>
  <w:style w:type="character" w:styleId="824">
    <w:name w:val="Основной текст 2 Знак"/>
    <w:next w:val="824"/>
    <w:link w:val="823"/>
    <w:rPr>
      <w:rFonts w:ascii="Times New Roman" w:hAnsi="Times New Roman" w:eastAsia="Times New Roman"/>
      <w:sz w:val="28"/>
      <w:szCs w:val="28"/>
      <w:lang w:eastAsia="ru-RU"/>
    </w:rPr>
  </w:style>
  <w:style w:type="paragraph" w:styleId="825">
    <w:name w:val="Основной текст 3"/>
    <w:basedOn w:val="816"/>
    <w:next w:val="825"/>
    <w:link w:val="826"/>
    <w:pPr>
      <w:jc w:val="center"/>
    </w:pPr>
    <w:rPr>
      <w:b/>
      <w:bCs/>
    </w:rPr>
  </w:style>
  <w:style w:type="character" w:styleId="826">
    <w:name w:val="Основной текст 3 Знак"/>
    <w:next w:val="826"/>
    <w:link w:val="825"/>
    <w:rPr>
      <w:rFonts w:ascii="Times New Roman" w:hAnsi="Times New Roman" w:eastAsia="Times New Roman"/>
      <w:b/>
      <w:bCs/>
      <w:sz w:val="28"/>
      <w:szCs w:val="28"/>
      <w:lang w:eastAsia="ru-RU"/>
    </w:rPr>
  </w:style>
  <w:style w:type="paragraph" w:styleId="827">
    <w:name w:val="Текст выноски"/>
    <w:basedOn w:val="816"/>
    <w:next w:val="827"/>
    <w:link w:val="828"/>
    <w:semiHidden/>
    <w:rPr>
      <w:rFonts w:ascii="Tahoma" w:hAnsi="Tahoma"/>
      <w:sz w:val="16"/>
      <w:szCs w:val="16"/>
    </w:rPr>
  </w:style>
  <w:style w:type="character" w:styleId="828">
    <w:name w:val="Текст выноски Знак"/>
    <w:next w:val="828"/>
    <w:link w:val="827"/>
    <w:semiHidden/>
    <w:rPr>
      <w:rFonts w:ascii="Tahoma" w:hAnsi="Tahoma" w:eastAsia="Times New Roman"/>
      <w:sz w:val="16"/>
      <w:szCs w:val="16"/>
      <w:lang w:eastAsia="ru-RU"/>
    </w:rPr>
  </w:style>
  <w:style w:type="table" w:styleId="829">
    <w:name w:val="Сетка таблицы"/>
    <w:basedOn w:val="818"/>
    <w:next w:val="829"/>
    <w:link w:val="816"/>
    <w:tblPr/>
  </w:style>
  <w:style w:type="paragraph" w:styleId="830">
    <w:name w:val="Рецензия"/>
    <w:next w:val="830"/>
    <w:link w:val="816"/>
    <w:hidden/>
    <w:semiHidden/>
    <w:rPr>
      <w:rFonts w:ascii="Times New Roman" w:hAnsi="Times New Roman" w:eastAsia="Times New Roman"/>
      <w:sz w:val="28"/>
      <w:szCs w:val="28"/>
      <w:lang w:val="ru-RU" w:eastAsia="ru-RU" w:bidi="ar-SA"/>
    </w:rPr>
  </w:style>
  <w:style w:type="character" w:styleId="831" w:default="1">
    <w:name w:val="Default Paragraph Font"/>
    <w:uiPriority w:val="1"/>
    <w:semiHidden/>
    <w:unhideWhenUsed/>
  </w:style>
  <w:style w:type="numbering" w:styleId="832" w:default="1">
    <w:name w:val="No List"/>
    <w:uiPriority w:val="99"/>
    <w:semiHidden/>
    <w:unhideWhenUsed/>
  </w:style>
  <w:style w:type="paragraph" w:styleId="833" w:default="1">
    <w:name w:val="Normal"/>
    <w:qFormat/>
  </w:style>
  <w:style w:type="table" w:styleId="834" w:default="1">
    <w:name w:val="Normal Table"/>
    <w:uiPriority w:val="99"/>
    <w:semiHidden/>
    <w:unhideWhenUsed/>
    <w:tblPr/>
  </w:style>
  <w:style w:type="paragraph" w:styleId="835" w:customStyle="1">
    <w:name w:val="228bf8a64b8551e1msonormal"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</w:rPr>
  </w:style>
  <w:style w:type="paragraph" w:styleId="836" w:customStyle="1">
    <w:name w:val="Без интервала"/>
    <w:next w:val="749"/>
    <w:link w:val="770"/>
    <w:uiPriority w:val="1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1"/>
      <w:szCs w:val="21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63</cp:revision>
  <dcterms:modified xsi:type="dcterms:W3CDTF">2024-10-10T09:08:43Z</dcterms:modified>
</cp:coreProperties>
</file>